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A6" w:rsidRDefault="00762BDE" w:rsidP="001A5CC8">
      <w:pPr>
        <w:pStyle w:val="Heading1"/>
        <w:spacing w:before="0" w:line="240" w:lineRule="auto"/>
        <w:jc w:val="center"/>
      </w:pPr>
      <w:r>
        <w:t>Accepting Alternative Information to Required Documentation</w:t>
      </w:r>
    </w:p>
    <w:p w:rsidR="008C2D4D" w:rsidRDefault="008C2D4D" w:rsidP="001A5CC8"/>
    <w:p w:rsidR="002C7A1A" w:rsidRDefault="008C2D4D" w:rsidP="001A5CC8">
      <w:r>
        <w:t xml:space="preserve">The </w:t>
      </w:r>
      <w:r w:rsidR="001D284E">
        <w:t>Nova Scotia Veterinary Medical Association (NSVMA)</w:t>
      </w:r>
      <w:r>
        <w:t xml:space="preserve"> recognizes that there are circumstances where an applicant will not be able to provide certain required documents for reasons beyond the applicant’s control.  In these circumstances, the </w:t>
      </w:r>
      <w:r w:rsidR="001D284E">
        <w:t>NSVMA</w:t>
      </w:r>
      <w:r>
        <w:t xml:space="preserve"> </w:t>
      </w:r>
      <w:r w:rsidR="002C7A1A">
        <w:t>will work with the applicant to accept alternative information to the required documentation, in a way that will not compromise the integrity of the licensing process.</w:t>
      </w:r>
    </w:p>
    <w:p w:rsidR="002C7A1A" w:rsidRDefault="002C7A1A" w:rsidP="001A5CC8">
      <w:pPr>
        <w:rPr>
          <w:b/>
        </w:rPr>
      </w:pPr>
      <w:r>
        <w:rPr>
          <w:b/>
        </w:rPr>
        <w:t xml:space="preserve">Requesting </w:t>
      </w:r>
      <w:r w:rsidR="000D6ED0">
        <w:rPr>
          <w:b/>
        </w:rPr>
        <w:t>Consideration of Alternative Information</w:t>
      </w:r>
    </w:p>
    <w:p w:rsidR="001A5CC8" w:rsidRDefault="00965C6A" w:rsidP="002C7A1A">
      <w:pPr>
        <w:pStyle w:val="ListParagraph"/>
        <w:numPr>
          <w:ilvl w:val="0"/>
          <w:numId w:val="4"/>
        </w:numPr>
      </w:pPr>
      <w:r>
        <w:t xml:space="preserve">An applicant </w:t>
      </w:r>
      <w:r w:rsidR="00EE0059">
        <w:t xml:space="preserve">who cannot provide some or </w:t>
      </w:r>
      <w:proofErr w:type="gramStart"/>
      <w:r w:rsidR="00EE0059">
        <w:t>all of</w:t>
      </w:r>
      <w:proofErr w:type="gramEnd"/>
      <w:r w:rsidR="00EE0059">
        <w:t xml:space="preserve"> the required documentation should contact the Registrar in writing to request that the </w:t>
      </w:r>
      <w:r w:rsidR="001D284E">
        <w:t>NSVMA</w:t>
      </w:r>
      <w:r w:rsidR="00EE0059">
        <w:t xml:space="preserve"> accept alternative information.  The applicant’s request should include:</w:t>
      </w:r>
    </w:p>
    <w:p w:rsidR="00EE0059" w:rsidRDefault="00EE0059" w:rsidP="00EE0059">
      <w:pPr>
        <w:pStyle w:val="ListParagraph"/>
        <w:numPr>
          <w:ilvl w:val="1"/>
          <w:numId w:val="4"/>
        </w:numPr>
      </w:pPr>
      <w:r>
        <w:t>a list of the required documents that cannot be provided,</w:t>
      </w:r>
    </w:p>
    <w:p w:rsidR="00EE0059" w:rsidRDefault="00EE0059" w:rsidP="00EE0059">
      <w:pPr>
        <w:pStyle w:val="ListParagraph"/>
        <w:numPr>
          <w:ilvl w:val="1"/>
          <w:numId w:val="4"/>
        </w:numPr>
      </w:pPr>
      <w:r>
        <w:t>the reason the applicant cannot obtain the required documentation,</w:t>
      </w:r>
    </w:p>
    <w:p w:rsidR="00EE0059" w:rsidRDefault="00EE0059" w:rsidP="00EE0059">
      <w:pPr>
        <w:pStyle w:val="ListParagraph"/>
        <w:numPr>
          <w:ilvl w:val="1"/>
          <w:numId w:val="4"/>
        </w:numPr>
      </w:pPr>
      <w:r>
        <w:t>a description of what attempts the applicant has previously made to obtain the required documentation,</w:t>
      </w:r>
    </w:p>
    <w:p w:rsidR="00EE0059" w:rsidRDefault="00EE0059" w:rsidP="00EE0059">
      <w:pPr>
        <w:pStyle w:val="ListParagraph"/>
        <w:numPr>
          <w:ilvl w:val="1"/>
          <w:numId w:val="4"/>
        </w:numPr>
      </w:pPr>
      <w:r>
        <w:t xml:space="preserve">a description of the </w:t>
      </w:r>
      <w:r w:rsidR="00567A40">
        <w:t>documents the applicant could provide to demonstrate their qualifications for licensure, and</w:t>
      </w:r>
    </w:p>
    <w:p w:rsidR="00567A40" w:rsidRDefault="00567A40" w:rsidP="00EE0059">
      <w:pPr>
        <w:pStyle w:val="ListParagraph"/>
        <w:numPr>
          <w:ilvl w:val="1"/>
          <w:numId w:val="4"/>
        </w:numPr>
      </w:pPr>
      <w:r>
        <w:t xml:space="preserve">whether or not the applicant consents to the </w:t>
      </w:r>
      <w:r w:rsidR="001D284E">
        <w:t>NSVMA</w:t>
      </w:r>
      <w:r>
        <w:t xml:space="preserve"> contacting third parties to assist in obtaining information and documentation of the applicant’s qualifications.</w:t>
      </w:r>
    </w:p>
    <w:p w:rsidR="00567A40" w:rsidRDefault="00567A40" w:rsidP="00567A40">
      <w:pPr>
        <w:pStyle w:val="ListParagraph"/>
        <w:numPr>
          <w:ilvl w:val="0"/>
          <w:numId w:val="4"/>
        </w:numPr>
      </w:pPr>
      <w:r>
        <w:t xml:space="preserve">The Registrar may request that the applicant provide additional information or evidence to demonstrate </w:t>
      </w:r>
      <w:r w:rsidR="009560B4">
        <w:t xml:space="preserve">why </w:t>
      </w:r>
      <w:r>
        <w:t>the applicant</w:t>
      </w:r>
      <w:r w:rsidR="009560B4">
        <w:t xml:space="preserve"> is</w:t>
      </w:r>
      <w:r>
        <w:t xml:space="preserve"> </w:t>
      </w:r>
      <w:r w:rsidR="009560B4">
        <w:t>unable</w:t>
      </w:r>
      <w:r>
        <w:t xml:space="preserve"> to provide required documentation.</w:t>
      </w:r>
    </w:p>
    <w:p w:rsidR="009560B4" w:rsidRDefault="009560B4" w:rsidP="00567A40">
      <w:pPr>
        <w:pStyle w:val="ListParagraph"/>
        <w:numPr>
          <w:ilvl w:val="0"/>
          <w:numId w:val="4"/>
        </w:numPr>
      </w:pPr>
      <w:r>
        <w:t xml:space="preserve">Where the required documentation is required by a </w:t>
      </w:r>
      <w:r w:rsidR="001D284E">
        <w:t>third-party</w:t>
      </w:r>
      <w:r>
        <w:t xml:space="preserve"> assessor, the Registrar may direct the applicant to contact the third-party directly.</w:t>
      </w:r>
    </w:p>
    <w:p w:rsidR="009A384A" w:rsidRDefault="009A384A" w:rsidP="009A384A">
      <w:pPr>
        <w:pStyle w:val="ListParagraph"/>
        <w:ind w:left="776"/>
      </w:pPr>
    </w:p>
    <w:p w:rsidR="009976DB" w:rsidRDefault="009976DB" w:rsidP="009976DB">
      <w:pPr>
        <w:rPr>
          <w:rFonts w:ascii="Calibri" w:eastAsia="Calibri" w:hAnsi="Calibri"/>
          <w:b/>
        </w:rPr>
      </w:pPr>
      <w:r w:rsidRPr="0035426F">
        <w:rPr>
          <w:rFonts w:ascii="Calibri" w:eastAsia="Calibri" w:hAnsi="Calibri"/>
          <w:b/>
        </w:rPr>
        <w:t xml:space="preserve">Acceptable Alternate </w:t>
      </w:r>
      <w:r w:rsidR="00965C6A">
        <w:rPr>
          <w:rFonts w:ascii="Calibri" w:eastAsia="Calibri" w:hAnsi="Calibri"/>
          <w:b/>
        </w:rPr>
        <w:t>Information</w:t>
      </w:r>
      <w:r w:rsidR="0026112B">
        <w:rPr>
          <w:rFonts w:ascii="Calibri" w:eastAsia="Calibri" w:hAnsi="Calibri"/>
          <w:b/>
        </w:rPr>
        <w:t xml:space="preserve"> – Educational Credentials</w:t>
      </w:r>
    </w:p>
    <w:p w:rsidR="000D6ED0" w:rsidRDefault="000D6ED0" w:rsidP="009976D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Where the Registrar accepts that required documentation cannot be provided for reasons beyond the applicant’s control, t</w:t>
      </w:r>
      <w:r w:rsidR="00965C6A">
        <w:rPr>
          <w:rFonts w:ascii="Calibri" w:eastAsia="Calibri" w:hAnsi="Calibri"/>
        </w:rPr>
        <w:t xml:space="preserve">he </w:t>
      </w:r>
      <w:r w:rsidR="001D284E">
        <w:rPr>
          <w:rFonts w:ascii="Calibri" w:eastAsia="Calibri" w:hAnsi="Calibri"/>
        </w:rPr>
        <w:t>NSVMA</w:t>
      </w:r>
      <w:r w:rsidR="00965C6A">
        <w:rPr>
          <w:rFonts w:ascii="Calibri" w:eastAsia="Calibri" w:hAnsi="Calibri"/>
        </w:rPr>
        <w:t xml:space="preserve"> will consider the following alternative </w:t>
      </w:r>
      <w:r>
        <w:rPr>
          <w:rFonts w:ascii="Calibri" w:eastAsia="Calibri" w:hAnsi="Calibri"/>
        </w:rPr>
        <w:t>information for assessing an applicant’s educational credentials:</w:t>
      </w:r>
    </w:p>
    <w:p w:rsidR="00965C6A" w:rsidRDefault="000D6ED0" w:rsidP="000D6ED0">
      <w:pPr>
        <w:pStyle w:val="ListParagraph"/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certified copies of original academic documentation;</w:t>
      </w:r>
    </w:p>
    <w:p w:rsidR="000D6ED0" w:rsidRDefault="000D6ED0" w:rsidP="000D6ED0">
      <w:pPr>
        <w:pStyle w:val="ListParagraph"/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photocopies of academic documentation together with a</w:t>
      </w:r>
      <w:r w:rsidR="00EF6F94">
        <w:rPr>
          <w:rFonts w:ascii="Calibri" w:eastAsia="Calibri" w:hAnsi="Calibri"/>
        </w:rPr>
        <w:t>n</w:t>
      </w:r>
      <w:r>
        <w:rPr>
          <w:rFonts w:ascii="Calibri" w:eastAsia="Calibri" w:hAnsi="Calibri"/>
        </w:rPr>
        <w:t xml:space="preserve"> affidavit attesting to the authenticity of the document;</w:t>
      </w:r>
    </w:p>
    <w:p w:rsidR="009976DB" w:rsidRDefault="000D6ED0" w:rsidP="000D6ED0">
      <w:pPr>
        <w:pStyle w:val="ListParagraph"/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a</w:t>
      </w:r>
      <w:r w:rsidR="00EF6F94">
        <w:rPr>
          <w:rFonts w:ascii="Calibri" w:eastAsia="Calibri" w:hAnsi="Calibri"/>
        </w:rPr>
        <w:t>n</w:t>
      </w:r>
      <w:r>
        <w:rPr>
          <w:rFonts w:ascii="Calibri" w:eastAsia="Calibri" w:hAnsi="Calibri"/>
        </w:rPr>
        <w:t xml:space="preserve"> affidavit from the applicant describing the applicant’s</w:t>
      </w:r>
      <w:r w:rsidR="009976DB" w:rsidRPr="000D6ED0">
        <w:rPr>
          <w:rFonts w:ascii="Calibri" w:eastAsia="Calibri" w:hAnsi="Calibri"/>
        </w:rPr>
        <w:t xml:space="preserve"> academic qualifications, the institution attended,</w:t>
      </w:r>
      <w:r>
        <w:rPr>
          <w:rFonts w:ascii="Calibri" w:eastAsia="Calibri" w:hAnsi="Calibri"/>
        </w:rPr>
        <w:t xml:space="preserve"> and detailed descriptions of th</w:t>
      </w:r>
      <w:r w:rsidR="00011219">
        <w:rPr>
          <w:rFonts w:ascii="Calibri" w:eastAsia="Calibri" w:hAnsi="Calibri"/>
        </w:rPr>
        <w:t>e courses</w:t>
      </w:r>
      <w:r>
        <w:rPr>
          <w:rFonts w:ascii="Calibri" w:eastAsia="Calibri" w:hAnsi="Calibri"/>
        </w:rPr>
        <w:t xml:space="preserve"> taken</w:t>
      </w:r>
      <w:r w:rsidR="00011219">
        <w:rPr>
          <w:rFonts w:ascii="Calibri" w:eastAsia="Calibri" w:hAnsi="Calibri"/>
        </w:rPr>
        <w:t xml:space="preserve"> and course curriculums</w:t>
      </w:r>
      <w:r w:rsidR="009976DB" w:rsidRPr="000D6ED0">
        <w:rPr>
          <w:rFonts w:ascii="Calibri" w:eastAsia="Calibri" w:hAnsi="Calibri"/>
        </w:rPr>
        <w:t>, with supporting</w:t>
      </w:r>
      <w:r w:rsidR="00011219">
        <w:rPr>
          <w:rFonts w:ascii="Calibri" w:eastAsia="Calibri" w:hAnsi="Calibri"/>
        </w:rPr>
        <w:t xml:space="preserve"> evidence if available;</w:t>
      </w:r>
    </w:p>
    <w:p w:rsidR="00C61A7E" w:rsidRDefault="00C61A7E" w:rsidP="000D6ED0">
      <w:pPr>
        <w:pStyle w:val="ListParagraph"/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aff</w:t>
      </w:r>
      <w:r w:rsidR="00566D08">
        <w:rPr>
          <w:rFonts w:ascii="Calibri" w:eastAsia="Calibri" w:hAnsi="Calibri"/>
        </w:rPr>
        <w:t xml:space="preserve">idavits from </w:t>
      </w:r>
      <w:r w:rsidR="00011219">
        <w:rPr>
          <w:rFonts w:ascii="Calibri" w:eastAsia="Calibri" w:hAnsi="Calibri"/>
        </w:rPr>
        <w:t>former professors and classmates verifying the applicant’s course descriptions and attesting to the applicant’s academic performance;</w:t>
      </w:r>
    </w:p>
    <w:p w:rsidR="00011219" w:rsidRDefault="009A384A" w:rsidP="000D6ED0">
      <w:pPr>
        <w:pStyle w:val="ListParagraph"/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information obtained by the </w:t>
      </w:r>
      <w:r w:rsidR="001D284E">
        <w:rPr>
          <w:rFonts w:ascii="Calibri" w:eastAsia="Calibri" w:hAnsi="Calibri"/>
        </w:rPr>
        <w:t>NSVMA</w:t>
      </w:r>
      <w:r>
        <w:rPr>
          <w:rFonts w:ascii="Calibri" w:eastAsia="Calibri" w:hAnsi="Calibri"/>
        </w:rPr>
        <w:t xml:space="preserve"> from third parties, with the applicant’s advance consent, verifying the applicant’</w:t>
      </w:r>
      <w:r w:rsidR="008E2C87">
        <w:rPr>
          <w:rFonts w:ascii="Calibri" w:eastAsia="Calibri" w:hAnsi="Calibri"/>
        </w:rPr>
        <w:t>s educational credentials;</w:t>
      </w:r>
    </w:p>
    <w:p w:rsidR="008E2C87" w:rsidRPr="000D6ED0" w:rsidRDefault="008E2C87" w:rsidP="000D6ED0">
      <w:pPr>
        <w:pStyle w:val="ListParagraph"/>
        <w:numPr>
          <w:ilvl w:val="0"/>
          <w:numId w:val="5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any other information offered by the applicant evidencing their academic qualifications.</w:t>
      </w:r>
    </w:p>
    <w:p w:rsidR="009976DB" w:rsidRPr="0026112B" w:rsidRDefault="0026112B" w:rsidP="0026112B">
      <w:pPr>
        <w:keepNext/>
        <w:rPr>
          <w:rFonts w:ascii="Calibri" w:eastAsia="Calibri" w:hAnsi="Calibri"/>
          <w:b/>
        </w:rPr>
      </w:pPr>
      <w:r w:rsidRPr="0026112B">
        <w:rPr>
          <w:rFonts w:ascii="Calibri" w:eastAsia="Calibri" w:hAnsi="Calibri"/>
          <w:b/>
        </w:rPr>
        <w:lastRenderedPageBreak/>
        <w:t xml:space="preserve">Acceptable Alternate Information – </w:t>
      </w:r>
      <w:r>
        <w:rPr>
          <w:rFonts w:ascii="Calibri" w:eastAsia="Calibri" w:hAnsi="Calibri"/>
          <w:b/>
        </w:rPr>
        <w:t>Professional Qualifications</w:t>
      </w:r>
    </w:p>
    <w:p w:rsidR="009A384A" w:rsidRDefault="009A384A" w:rsidP="009A384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Where the Registrar accepts that required documentation cannot be provided for reasons beyond the applicant’s control, the </w:t>
      </w:r>
      <w:r w:rsidR="001D284E">
        <w:rPr>
          <w:rFonts w:ascii="Calibri" w:eastAsia="Calibri" w:hAnsi="Calibri"/>
        </w:rPr>
        <w:t>NSVMA</w:t>
      </w:r>
      <w:r>
        <w:rPr>
          <w:rFonts w:ascii="Calibri" w:eastAsia="Calibri" w:hAnsi="Calibri"/>
        </w:rPr>
        <w:t xml:space="preserve"> will consider the following alternative documents for assessing an applicant’s prior experience:</w:t>
      </w:r>
    </w:p>
    <w:p w:rsidR="00EF6F94" w:rsidRDefault="00EF6F94" w:rsidP="00EF6F94">
      <w:pPr>
        <w:pStyle w:val="ListParagraph"/>
        <w:numPr>
          <w:ilvl w:val="0"/>
          <w:numId w:val="7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reference letters from prior employers and colleagues;</w:t>
      </w:r>
    </w:p>
    <w:p w:rsidR="0026112B" w:rsidRPr="0026112B" w:rsidRDefault="0026112B" w:rsidP="0026112B">
      <w:pPr>
        <w:pStyle w:val="ListParagraph"/>
        <w:numPr>
          <w:ilvl w:val="0"/>
          <w:numId w:val="7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an affidavit from the applicant describing the applicant’s</w:t>
      </w:r>
      <w:r w:rsidRPr="000D6ED0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professional qualifications and detailed descriptions of prior work performed</w:t>
      </w:r>
      <w:r w:rsidRPr="000D6ED0">
        <w:rPr>
          <w:rFonts w:ascii="Calibri" w:eastAsia="Calibri" w:hAnsi="Calibri"/>
        </w:rPr>
        <w:t>, with supporting</w:t>
      </w:r>
      <w:r>
        <w:rPr>
          <w:rFonts w:ascii="Calibri" w:eastAsia="Calibri" w:hAnsi="Calibri"/>
        </w:rPr>
        <w:t xml:space="preserve"> evidence if available;</w:t>
      </w:r>
    </w:p>
    <w:p w:rsidR="00EF6F94" w:rsidRDefault="00EF6F94" w:rsidP="00EF6F94">
      <w:pPr>
        <w:pStyle w:val="ListParagraph"/>
        <w:numPr>
          <w:ilvl w:val="0"/>
          <w:numId w:val="7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copies of reports that support the applicant’s involvement in a project;</w:t>
      </w:r>
    </w:p>
    <w:p w:rsidR="0026112B" w:rsidRDefault="0026112B" w:rsidP="00EF6F94">
      <w:pPr>
        <w:pStyle w:val="ListParagraph"/>
        <w:numPr>
          <w:ilvl w:val="0"/>
          <w:numId w:val="7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statements of professional standing from other regulatory bodies;</w:t>
      </w:r>
    </w:p>
    <w:p w:rsidR="009A384A" w:rsidRDefault="0026112B" w:rsidP="00011219">
      <w:pPr>
        <w:pStyle w:val="ListParagraph"/>
        <w:numPr>
          <w:ilvl w:val="0"/>
          <w:numId w:val="7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certified copies of professional licenses or certificates;</w:t>
      </w:r>
    </w:p>
    <w:p w:rsidR="0026112B" w:rsidRPr="008E2C87" w:rsidRDefault="008E2C87" w:rsidP="008E2C87">
      <w:pPr>
        <w:pStyle w:val="ListParagraph"/>
        <w:numPr>
          <w:ilvl w:val="0"/>
          <w:numId w:val="7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any other information offered by the applicant evidencing their professional qualifications.</w:t>
      </w:r>
    </w:p>
    <w:p w:rsidR="0026112B" w:rsidRDefault="0026112B" w:rsidP="00011219">
      <w:pPr>
        <w:rPr>
          <w:rFonts w:ascii="Calibri" w:eastAsia="Calibri" w:hAnsi="Calibri"/>
        </w:rPr>
      </w:pPr>
    </w:p>
    <w:p w:rsidR="00011219" w:rsidRDefault="0026112B" w:rsidP="00011219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T</w:t>
      </w:r>
      <w:r w:rsidR="00011219">
        <w:rPr>
          <w:rFonts w:ascii="Calibri" w:eastAsia="Calibri" w:hAnsi="Calibri"/>
        </w:rPr>
        <w:t xml:space="preserve">he </w:t>
      </w:r>
      <w:r w:rsidR="001D284E">
        <w:rPr>
          <w:rFonts w:ascii="Calibri" w:eastAsia="Calibri" w:hAnsi="Calibri"/>
        </w:rPr>
        <w:t>NSVMA</w:t>
      </w:r>
      <w:r w:rsidR="00011219">
        <w:rPr>
          <w:rFonts w:ascii="Calibri" w:eastAsia="Calibri" w:hAnsi="Calibri"/>
        </w:rPr>
        <w:t xml:space="preserve"> </w:t>
      </w:r>
      <w:r w:rsidR="004B09D7">
        <w:rPr>
          <w:rFonts w:ascii="Calibri" w:eastAsia="Calibri" w:hAnsi="Calibri"/>
        </w:rPr>
        <w:t xml:space="preserve">may arrange </w:t>
      </w:r>
      <w:r w:rsidR="00011219">
        <w:rPr>
          <w:rFonts w:ascii="Calibri" w:eastAsia="Calibri" w:hAnsi="Calibri"/>
        </w:rPr>
        <w:t xml:space="preserve">the following </w:t>
      </w:r>
      <w:r w:rsidR="004B09D7">
        <w:rPr>
          <w:rFonts w:ascii="Calibri" w:eastAsia="Calibri" w:hAnsi="Calibri"/>
        </w:rPr>
        <w:t>mechanisms</w:t>
      </w:r>
      <w:r w:rsidR="00011219">
        <w:rPr>
          <w:rFonts w:ascii="Calibri" w:eastAsia="Calibri" w:hAnsi="Calibri"/>
        </w:rPr>
        <w:t xml:space="preserve"> for assessing an applicant’s </w:t>
      </w:r>
      <w:r w:rsidR="003F6B9E">
        <w:rPr>
          <w:rFonts w:ascii="Calibri" w:eastAsia="Calibri" w:hAnsi="Calibri"/>
        </w:rPr>
        <w:t>professional competencies</w:t>
      </w:r>
      <w:r w:rsidR="00011219">
        <w:rPr>
          <w:rFonts w:ascii="Calibri" w:eastAsia="Calibri" w:hAnsi="Calibri"/>
        </w:rPr>
        <w:t>:</w:t>
      </w:r>
    </w:p>
    <w:p w:rsidR="00011219" w:rsidRDefault="00011219" w:rsidP="0026112B">
      <w:pPr>
        <w:numPr>
          <w:ilvl w:val="0"/>
          <w:numId w:val="8"/>
        </w:numPr>
        <w:tabs>
          <w:tab w:val="left" w:pos="1620"/>
        </w:tabs>
        <w:contextualSpacing/>
        <w:rPr>
          <w:rFonts w:ascii="Calibri" w:eastAsia="Calibri" w:hAnsi="Calibri"/>
        </w:rPr>
      </w:pPr>
      <w:r w:rsidRPr="009A3B04">
        <w:rPr>
          <w:rFonts w:ascii="Calibri" w:eastAsia="Calibri" w:hAnsi="Calibri"/>
        </w:rPr>
        <w:t xml:space="preserve">an interview with </w:t>
      </w:r>
      <w:r w:rsidR="0026112B">
        <w:rPr>
          <w:rFonts w:ascii="Calibri" w:eastAsia="Calibri" w:hAnsi="Calibri"/>
        </w:rPr>
        <w:t xml:space="preserve">licensed </w:t>
      </w:r>
      <w:r w:rsidRPr="009A3B04">
        <w:rPr>
          <w:rFonts w:ascii="Calibri" w:eastAsia="Calibri" w:hAnsi="Calibri"/>
        </w:rPr>
        <w:t xml:space="preserve">members of the </w:t>
      </w:r>
      <w:r w:rsidR="001D284E">
        <w:rPr>
          <w:rFonts w:ascii="Calibri" w:eastAsia="Calibri" w:hAnsi="Calibri"/>
        </w:rPr>
        <w:t>NSVMA</w:t>
      </w:r>
      <w:r w:rsidRPr="009A3B04">
        <w:rPr>
          <w:rFonts w:ascii="Calibri" w:eastAsia="Calibri" w:hAnsi="Calibri"/>
        </w:rPr>
        <w:t xml:space="preserve"> who are of the same discipline as the </w:t>
      </w:r>
      <w:r w:rsidR="0026112B">
        <w:rPr>
          <w:rFonts w:ascii="Calibri" w:eastAsia="Calibri" w:hAnsi="Calibri"/>
        </w:rPr>
        <w:t>professional qualification claimed;</w:t>
      </w:r>
    </w:p>
    <w:p w:rsidR="0026112B" w:rsidRDefault="0026112B" w:rsidP="0026112B">
      <w:pPr>
        <w:numPr>
          <w:ilvl w:val="0"/>
          <w:numId w:val="8"/>
        </w:numPr>
        <w:tabs>
          <w:tab w:val="left" w:pos="1620"/>
        </w:tabs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a written examination;</w:t>
      </w:r>
    </w:p>
    <w:p w:rsidR="0026112B" w:rsidRDefault="0026112B" w:rsidP="0026112B">
      <w:pPr>
        <w:numPr>
          <w:ilvl w:val="0"/>
          <w:numId w:val="8"/>
        </w:numPr>
        <w:tabs>
          <w:tab w:val="left" w:pos="1620"/>
        </w:tabs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an oral examination;</w:t>
      </w:r>
    </w:p>
    <w:p w:rsidR="00876866" w:rsidRDefault="0026112B" w:rsidP="0026112B">
      <w:pPr>
        <w:numPr>
          <w:ilvl w:val="0"/>
          <w:numId w:val="8"/>
        </w:numPr>
        <w:tabs>
          <w:tab w:val="left" w:pos="1620"/>
        </w:tabs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a clinical/practical examination;</w:t>
      </w:r>
    </w:p>
    <w:p w:rsidR="0026112B" w:rsidRPr="0026112B" w:rsidRDefault="0026112B" w:rsidP="0026112B">
      <w:pPr>
        <w:numPr>
          <w:ilvl w:val="0"/>
          <w:numId w:val="8"/>
        </w:numPr>
        <w:tabs>
          <w:tab w:val="left" w:pos="1620"/>
        </w:tabs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a period of supervised practice for up to XX months/years.</w:t>
      </w:r>
    </w:p>
    <w:p w:rsidR="00876866" w:rsidRDefault="00876866" w:rsidP="00876866"/>
    <w:p w:rsidR="00A666E9" w:rsidRPr="001A5CC8" w:rsidRDefault="00A666E9" w:rsidP="00A666E9">
      <w:pPr>
        <w:pStyle w:val="ListParagraph"/>
        <w:numPr>
          <w:ilvl w:val="0"/>
          <w:numId w:val="9"/>
        </w:numPr>
      </w:pPr>
      <w:r>
        <w:t>The applicant is responsible f</w:t>
      </w:r>
      <w:bookmarkStart w:id="0" w:name="_GoBack"/>
      <w:bookmarkEnd w:id="0"/>
      <w:r>
        <w:t>or the costs of alternative assessments.</w:t>
      </w:r>
    </w:p>
    <w:sectPr w:rsidR="00A666E9" w:rsidRPr="001A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2E99"/>
    <w:multiLevelType w:val="hybridMultilevel"/>
    <w:tmpl w:val="E38AC838"/>
    <w:lvl w:ilvl="0" w:tplc="B7B06EBA">
      <w:start w:val="1"/>
      <w:numFmt w:val="bullet"/>
      <w:lvlText w:val="□"/>
      <w:lvlJc w:val="left"/>
      <w:pPr>
        <w:ind w:left="7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44BA44D3"/>
    <w:multiLevelType w:val="hybridMultilevel"/>
    <w:tmpl w:val="3D649CA8"/>
    <w:lvl w:ilvl="0" w:tplc="B7B06E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10DCA"/>
    <w:multiLevelType w:val="hybridMultilevel"/>
    <w:tmpl w:val="8F1ED640"/>
    <w:lvl w:ilvl="0" w:tplc="B7B06EBA">
      <w:start w:val="1"/>
      <w:numFmt w:val="bullet"/>
      <w:lvlText w:val="□"/>
      <w:lvlJc w:val="left"/>
      <w:pPr>
        <w:ind w:left="776" w:hanging="360"/>
      </w:pPr>
      <w:rPr>
        <w:rFonts w:ascii="Courier New" w:hAnsi="Courier New" w:hint="default"/>
      </w:rPr>
    </w:lvl>
    <w:lvl w:ilvl="1" w:tplc="B7B06EBA">
      <w:start w:val="1"/>
      <w:numFmt w:val="bullet"/>
      <w:lvlText w:val="□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52B70357"/>
    <w:multiLevelType w:val="hybridMultilevel"/>
    <w:tmpl w:val="6666BF9A"/>
    <w:lvl w:ilvl="0" w:tplc="D55A85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94721"/>
    <w:multiLevelType w:val="hybridMultilevel"/>
    <w:tmpl w:val="8AE0443A"/>
    <w:lvl w:ilvl="0" w:tplc="79D69B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6003"/>
    <w:multiLevelType w:val="hybridMultilevel"/>
    <w:tmpl w:val="8AE0443A"/>
    <w:lvl w:ilvl="0" w:tplc="79D69B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724FA"/>
    <w:multiLevelType w:val="hybridMultilevel"/>
    <w:tmpl w:val="4BC07FD8"/>
    <w:lvl w:ilvl="0" w:tplc="C0D642D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3527F"/>
    <w:multiLevelType w:val="hybridMultilevel"/>
    <w:tmpl w:val="1284BB56"/>
    <w:lvl w:ilvl="0" w:tplc="9F0C2FF4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7EE446F"/>
    <w:multiLevelType w:val="hybridMultilevel"/>
    <w:tmpl w:val="FF122226"/>
    <w:lvl w:ilvl="0" w:tplc="B7B06E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C8"/>
    <w:rsid w:val="00011219"/>
    <w:rsid w:val="000D6ED0"/>
    <w:rsid w:val="001A5CC8"/>
    <w:rsid w:val="001D284E"/>
    <w:rsid w:val="0026112B"/>
    <w:rsid w:val="002C7A1A"/>
    <w:rsid w:val="003F6B9E"/>
    <w:rsid w:val="00427D6E"/>
    <w:rsid w:val="004B09D7"/>
    <w:rsid w:val="004E27ED"/>
    <w:rsid w:val="00566D08"/>
    <w:rsid w:val="00567A40"/>
    <w:rsid w:val="00761081"/>
    <w:rsid w:val="00762BDE"/>
    <w:rsid w:val="00876866"/>
    <w:rsid w:val="008C2D4D"/>
    <w:rsid w:val="008E275D"/>
    <w:rsid w:val="008E2C87"/>
    <w:rsid w:val="009560B4"/>
    <w:rsid w:val="00965C6A"/>
    <w:rsid w:val="009976DB"/>
    <w:rsid w:val="009A384A"/>
    <w:rsid w:val="009E41FC"/>
    <w:rsid w:val="00A666E9"/>
    <w:rsid w:val="00B6065C"/>
    <w:rsid w:val="00C12591"/>
    <w:rsid w:val="00C61A7E"/>
    <w:rsid w:val="00CD577A"/>
    <w:rsid w:val="00EE0059"/>
    <w:rsid w:val="00E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08A3"/>
  <w15:chartTrackingRefBased/>
  <w15:docId w15:val="{B0E19BA8-333C-4115-AB84-64F63A39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C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5C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D577A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Tiffany</dc:creator>
  <cp:keywords/>
  <dc:description/>
  <cp:lastModifiedBy>MacInnis</cp:lastModifiedBy>
  <cp:revision>3</cp:revision>
  <dcterms:created xsi:type="dcterms:W3CDTF">2018-12-12T13:31:00Z</dcterms:created>
  <dcterms:modified xsi:type="dcterms:W3CDTF">2018-12-12T13:36:00Z</dcterms:modified>
</cp:coreProperties>
</file>